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In</w:t>
      </w:r>
      <w:r>
        <w:rPr>
          <w:rFonts w:ascii="Lucida Sans" w:cs="Lucida Sans" w:hAnsi="Lucida Sans" w:eastAsia="Lucida Sans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-</w:t>
      </w:r>
      <w:r>
        <w:rPr>
          <w:rFonts w:ascii="Lucida Sans" w:cs="Lucida Sans" w:hAnsi="Lucida Sans" w:eastAsia="Lucida Sans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en </w:t>
      </w:r>
      <w:r>
        <w:rPr>
          <w:rFonts w:ascii="Lucida Sans" w:cs="Lucida Sans" w:hAnsi="Lucida Sans" w:eastAsia="Lucida Sans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uitsluitingscriteria </w:t>
      </w:r>
      <w:r>
        <w:rPr>
          <w:rFonts w:ascii="Lucida Sans" w:cs="Lucida Sans" w:hAnsi="Lucida Sans" w:eastAsia="Lucida Sans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tocht / ambulante begeleiding</w:t>
      </w:r>
      <w:r>
        <w:rPr>
          <w:rFonts w:ascii="Lucida Sans" w:cs="Lucida Sans" w:hAnsi="Lucida Sans" w:eastAsia="Lucida Sans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nl-NL"/>
          <w14:textFill>
            <w14:solidFill>
              <w14:srgbClr w14:val="000000"/>
            </w14:solidFill>
          </w14:textFill>
        </w:rPr>
        <w:t>Cli</w:t>
      </w:r>
      <w:r>
        <w:rPr>
          <w:rFonts w:ascii="Lucida Sans" w:cs="Lucida Sans" w:hAnsi="Lucida Sans" w:eastAsia="Lucida Sans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nl-NL"/>
          <w14:textFill>
            <w14:solidFill>
              <w14:srgbClr w14:val="000000"/>
            </w14:solidFill>
          </w14:textFill>
        </w:rPr>
        <w:t>nten die deelnemen aan een traject van Tjeenz zijn: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Tussen de 15 en 23 jaar,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Fysiek in staat om deel te nemen aan de geboden activiteiten,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4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In alle gevallen zelf verantwoordelijk voor hun medicatie, cli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nten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tekenen hiervoor een verklaring 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‘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beheer eigen medicatie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opgenomen in het toestemmingsformulier.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Uitsluitingsgronden: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6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Ernstig su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ï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cidale cli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nten,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8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Psychotische cli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nten,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8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Een zodanige lage intelligentie dat cli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nten niet verantwoordelijk gehouden kunnen worden voor hun gedrag.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8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Dusdanige verslaving dat functioneren ( psychisch/ lichamelijk) zonder drugs niet mogelijk is,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8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Wanneer er medicatie moet worden toegediend door een bevoegd/bekwame hulpverlener: deze ondersteuning kunnen wij niet bieden.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nl-NL"/>
          <w14:textFill>
            <w14:solidFill>
              <w14:srgbClr w14:val="000000"/>
            </w14:solidFill>
          </w14:textFill>
        </w:rPr>
        <w:t>Cli</w:t>
      </w:r>
      <w:r>
        <w:rPr>
          <w:rFonts w:ascii="Lucida Sans" w:cs="Lucida Sans" w:hAnsi="Lucida Sans" w:eastAsia="Lucida Sans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nl-NL"/>
          <w14:textFill>
            <w14:solidFill>
              <w14:srgbClr w14:val="000000"/>
            </w14:solidFill>
          </w14:textFill>
        </w:rPr>
        <w:t>nten in ambulante zorg: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0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Tussen de 15 en 23 jaar,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0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Overwegen om mee te gaan op tocht of hebben een tocht afgerond en willen de doelen nog verder uitwerken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2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Zijn gemotiveerde jongeren die zowel letterlijk als figuurlijk in beweging willen komen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2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In alle gevallen zelf verantwoordelijk voor hun medicatie, cli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nten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tekenen hiervoor een verklaring 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‘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beheer eigen medicatie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opgenomen in het toestemmingsformulier.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Uitsluitingsgronden: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4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Ernstig su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ï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cidale cli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nten,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6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Psychotische cli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nten,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6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Een zodanige lage intelligentie dat cli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ë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nten niet verantwoordelijk gehouden kunnen worden voor hun gedrag,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6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Dusdanige verslaving dat functioneren (psychisch/ lichamelijk) zonder drugs niet mogelijk is,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numPr>
          <w:ilvl w:val="0"/>
          <w:numId w:val="16"/>
        </w:numPr>
        <w:bidi w:val="0"/>
        <w:spacing w:before="0" w:after="0"/>
        <w:ind w:right="0"/>
        <w:jc w:val="left"/>
        <w:rPr>
          <w:rFonts w:ascii="Lucida Sans" w:cs="Lucida Sans" w:hAnsi="Lucida Sans" w:eastAsia="Lucida Sans"/>
          <w:sz w:val="20"/>
          <w:szCs w:val="20"/>
          <w:rtl w:val="0"/>
          <w:lang w:val="nl-NL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Wanneer er medicatie moet worden toegediend door een bevoegd/bekwame hulpverlener: deze ondersteuning kunnen wij niet bieden.</w:t>
      </w: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Lucida Sans" w:cs="Lucida Sans" w:hAnsi="Lucida Sans" w:eastAsia="Lucida Sans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rFonts w:ascii="Verdana" w:hAnsi="Verdana" w:hint="default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 </w:t>
      </w:r>
    </w:p>
    <w:p>
      <w:pPr>
        <w:pStyle w:val="paragraph"/>
        <w:spacing w:before="0" w:after="0"/>
      </w:pPr>
      <w:r>
        <w:rPr>
          <w:rFonts w:ascii="Calibri" w:hAnsi="Calibri" w:hint="default"/>
          <w:sz w:val="22"/>
          <w:szCs w:val="22"/>
          <w:rtl w:val="0"/>
          <w:lang w:val="nl-NL"/>
        </w:rPr>
        <w:t> </w:t>
      </w:r>
      <w:r>
        <w:rPr>
          <w:rFonts w:ascii="Segoe UI" w:cs="Segoe UI" w:hAnsi="Segoe UI" w:eastAsia="Segoe UI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">
    <w:charset w:val="00"/>
    <w:family w:val="roman"/>
    <w:pitch w:val="default"/>
  </w:font>
  <w:font w:name="Segoe UI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800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520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24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9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68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40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61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84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800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520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24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9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68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40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61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84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Geïmporteerde stijl 3"/>
  </w:abstractNum>
  <w:abstractNum w:abstractNumId="5">
    <w:multiLevelType w:val="hybridMultilevel"/>
    <w:styleLink w:val="Geïmporteerde stijl 3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800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520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24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9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68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40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61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84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Geïmporteerde stijl 4"/>
  </w:abstractNum>
  <w:abstractNum w:abstractNumId="7">
    <w:multiLevelType w:val="hybridMultilevel"/>
    <w:styleLink w:val="Geïmporteerde stijl 4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800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520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24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9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68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40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61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84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Geïmporteerde stijl 5"/>
  </w:abstractNum>
  <w:abstractNum w:abstractNumId="9">
    <w:multiLevelType w:val="hybridMultilevel"/>
    <w:styleLink w:val="Geïmporteerde stijl 5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800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520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24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9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68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40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61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84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Geïmporteerde stijl 6"/>
  </w:abstractNum>
  <w:abstractNum w:abstractNumId="11">
    <w:multiLevelType w:val="hybridMultilevel"/>
    <w:styleLink w:val="Geïmporteerde stijl 6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800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520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24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9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68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40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61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84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Geïmporteerde stijl 7"/>
  </w:abstractNum>
  <w:abstractNum w:abstractNumId="13">
    <w:multiLevelType w:val="hybridMultilevel"/>
    <w:styleLink w:val="Geïmporteerde stijl 7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800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520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24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9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68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40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61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84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Geïmporteerde stijl 8"/>
  </w:abstractNum>
  <w:abstractNum w:abstractNumId="15">
    <w:multiLevelType w:val="hybridMultilevel"/>
    <w:styleLink w:val="Geïmporteerde stijl 8"/>
    <w:lvl w:ilvl="0">
      <w:start w:val="1"/>
      <w:numFmt w:val="bullet"/>
      <w:suff w:val="tab"/>
      <w:lvlText w:val="·"/>
      <w:lvlJc w:val="left"/>
      <w:pPr>
        <w:tabs>
          <w:tab w:val="left" w:pos="720"/>
          <w:tab w:val="num" w:pos="1416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2136"/>
        </w:tabs>
        <w:ind w:left="1800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2856"/>
        </w:tabs>
        <w:ind w:left="2520" w:firstLine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3576"/>
        </w:tabs>
        <w:ind w:left="3240" w:firstLine="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4296"/>
        </w:tabs>
        <w:ind w:left="39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5016"/>
        </w:tabs>
        <w:ind w:left="4680" w:firstLine="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736"/>
        </w:tabs>
        <w:ind w:left="5400" w:firstLine="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6456"/>
        </w:tabs>
        <w:ind w:left="61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7176"/>
        </w:tabs>
        <w:ind w:left="6840" w:firstLine="9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  <w:style w:type="numbering" w:styleId="Geïmporteerde stijl 3">
    <w:name w:val="Geïmporteerde stijl 3"/>
    <w:pPr>
      <w:numPr>
        <w:numId w:val="5"/>
      </w:numPr>
    </w:pPr>
  </w:style>
  <w:style w:type="numbering" w:styleId="Geïmporteerde stijl 4">
    <w:name w:val="Geïmporteerde stijl 4"/>
    <w:pPr>
      <w:numPr>
        <w:numId w:val="7"/>
      </w:numPr>
    </w:pPr>
  </w:style>
  <w:style w:type="numbering" w:styleId="Geïmporteerde stijl 5">
    <w:name w:val="Geïmporteerde stijl 5"/>
    <w:pPr>
      <w:numPr>
        <w:numId w:val="9"/>
      </w:numPr>
    </w:pPr>
  </w:style>
  <w:style w:type="numbering" w:styleId="Geïmporteerde stijl 6">
    <w:name w:val="Geïmporteerde stijl 6"/>
    <w:pPr>
      <w:numPr>
        <w:numId w:val="11"/>
      </w:numPr>
    </w:pPr>
  </w:style>
  <w:style w:type="numbering" w:styleId="Geïmporteerde stijl 7">
    <w:name w:val="Geïmporteerde stijl 7"/>
    <w:pPr>
      <w:numPr>
        <w:numId w:val="13"/>
      </w:numPr>
    </w:pPr>
  </w:style>
  <w:style w:type="numbering" w:styleId="Geïmporteerde stijl 8">
    <w:name w:val="Geïmporteerde stijl 8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